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7C1164EC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C5B36">
        <w:rPr>
          <w:rFonts w:ascii="Arial" w:hAnsi="Arial" w:cs="Arial"/>
          <w:b/>
          <w:bCs/>
          <w:color w:val="002060"/>
          <w:sz w:val="28"/>
          <w:szCs w:val="28"/>
        </w:rPr>
        <w:t>Declarația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C5B36">
        <w:rPr>
          <w:rFonts w:ascii="Arial" w:hAnsi="Arial" w:cs="Arial"/>
          <w:b/>
          <w:bCs/>
          <w:color w:val="0070C0"/>
          <w:sz w:val="28"/>
          <w:szCs w:val="28"/>
        </w:rPr>
        <w:t>D</w:t>
      </w:r>
      <w:r w:rsidR="00DA5022">
        <w:rPr>
          <w:rFonts w:ascii="Arial" w:hAnsi="Arial" w:cs="Arial"/>
          <w:b/>
          <w:bCs/>
          <w:color w:val="0070C0"/>
          <w:sz w:val="28"/>
          <w:szCs w:val="28"/>
        </w:rPr>
        <w:t>2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E5AD65E" w14:textId="77777777" w:rsidR="008D7343" w:rsidRDefault="008D7343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8D7343">
        <w:rPr>
          <w:rFonts w:ascii="Arial" w:hAnsi="Arial" w:cs="Arial"/>
          <w:b/>
          <w:bCs/>
          <w:color w:val="002060"/>
          <w:sz w:val="24"/>
          <w:szCs w:val="24"/>
        </w:rPr>
        <w:t xml:space="preserve">Declarație cu privire la disponibilitatea pieselor de schimb </w:t>
      </w:r>
    </w:p>
    <w:p w14:paraId="0D162E65" w14:textId="47471E1B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64A5E36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288632EC" w:rsidR="00B2512D" w:rsidRDefault="00B2512D" w:rsidP="00B2512D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921FD1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921FD1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D53C43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lotul ....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(nr.lot) în care am propus produsul</w:t>
      </w:r>
      <w:r w:rsidR="00816377">
        <w:rPr>
          <w:rFonts w:ascii="Arial" w:hAnsi="Arial" w:cs="Arial"/>
          <w:color w:val="002060"/>
          <w:sz w:val="20"/>
          <w:szCs w:val="20"/>
        </w:rPr>
        <w:t>/ele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................................ (mar</w:t>
      </w:r>
      <w:r w:rsidR="00BC5B36">
        <w:rPr>
          <w:rFonts w:ascii="Arial" w:hAnsi="Arial" w:cs="Arial"/>
          <w:b/>
          <w:bCs/>
          <w:color w:val="002060"/>
          <w:sz w:val="20"/>
          <w:szCs w:val="20"/>
        </w:rPr>
        <w:t>c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a/model)</w:t>
      </w:r>
      <w:r w:rsid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BC5B36">
        <w:rPr>
          <w:rFonts w:ascii="Arial" w:hAnsi="Arial" w:cs="Arial"/>
          <w:color w:val="002060"/>
          <w:sz w:val="20"/>
          <w:szCs w:val="20"/>
        </w:rPr>
        <w:t>în conformitate cu Caietul de sarcini, declarăm următoarele:</w:t>
      </w:r>
    </w:p>
    <w:p w14:paraId="7DF53811" w14:textId="77777777" w:rsidR="00823DEE" w:rsidRPr="00BC5B36" w:rsidRDefault="00823DEE" w:rsidP="00B2512D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4B5B3673" w14:textId="212C8B15" w:rsidR="00BC5B36" w:rsidRPr="00BC5B36" w:rsidRDefault="008D7343" w:rsidP="00B2512D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În conformitate cu capitolul 3.5.3.6. al caietului de sarcini: </w:t>
      </w:r>
    </w:p>
    <w:p w14:paraId="391895A6" w14:textId="46AA44BD" w:rsidR="00BC5B36" w:rsidRDefault="00BC5B36" w:rsidP="00B251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046F1E" w14:textId="77777777" w:rsidR="008D7343" w:rsidRDefault="008D7343" w:rsidP="008D7343">
      <w:pPr>
        <w:rPr>
          <w:rFonts w:ascii="Arial" w:hAnsi="Arial" w:cs="Arial"/>
          <w:color w:val="002060"/>
          <w:sz w:val="20"/>
          <w:szCs w:val="20"/>
        </w:rPr>
      </w:pPr>
    </w:p>
    <w:p w14:paraId="43279975" w14:textId="7A6B5BBF" w:rsidR="008D7343" w:rsidRDefault="008D7343" w:rsidP="008D7343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</w:t>
      </w:r>
      <w:r>
        <w:rPr>
          <w:rFonts w:ascii="Arial" w:hAnsi="Arial" w:cs="Arial"/>
          <w:color w:val="002060"/>
          <w:sz w:val="20"/>
          <w:szCs w:val="20"/>
        </w:rPr>
        <w:t>) va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 xml:space="preserve">asigura </w:t>
      </w:r>
      <w:r w:rsidRPr="00FB0D16">
        <w:rPr>
          <w:rFonts w:ascii="Arial" w:hAnsi="Arial" w:cs="Arial"/>
          <w:color w:val="002060"/>
          <w:sz w:val="20"/>
          <w:szCs w:val="20"/>
        </w:rPr>
        <w:t>piese de schimb și orice alte materiale consumabile pentru o perioad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de </w:t>
      </w:r>
      <w:r w:rsidRPr="00FB0D16">
        <w:rPr>
          <w:rFonts w:ascii="Arial" w:hAnsi="Arial" w:cs="Arial"/>
          <w:b/>
          <w:bCs/>
          <w:color w:val="002060"/>
          <w:sz w:val="20"/>
          <w:szCs w:val="20"/>
        </w:rPr>
        <w:t xml:space="preserve">minim </w:t>
      </w:r>
      <w:r w:rsidR="00322B70">
        <w:rPr>
          <w:rFonts w:ascii="Arial" w:hAnsi="Arial" w:cs="Arial"/>
          <w:b/>
          <w:bCs/>
          <w:color w:val="002060"/>
          <w:sz w:val="20"/>
          <w:szCs w:val="20"/>
        </w:rPr>
        <w:t>3</w:t>
      </w:r>
      <w:r w:rsidRPr="00FB0D16">
        <w:rPr>
          <w:rFonts w:ascii="Arial" w:hAnsi="Arial" w:cs="Arial"/>
          <w:b/>
          <w:bCs/>
          <w:color w:val="002060"/>
          <w:sz w:val="20"/>
          <w:szCs w:val="20"/>
        </w:rPr>
        <w:t xml:space="preserve"> ani după expirarea perioadei de garanție</w:t>
      </w:r>
      <w:r w:rsidRPr="00FB0D16">
        <w:rPr>
          <w:rFonts w:ascii="Arial" w:hAnsi="Arial" w:cs="Arial"/>
          <w:color w:val="002060"/>
          <w:sz w:val="20"/>
          <w:szCs w:val="20"/>
        </w:rPr>
        <w:t>.</w:t>
      </w:r>
    </w:p>
    <w:p w14:paraId="7C40CD01" w14:textId="77777777" w:rsidR="00BC5B36" w:rsidRDefault="00BC5B36" w:rsidP="00BC5B36">
      <w:pPr>
        <w:widowControl/>
        <w:autoSpaceDE/>
        <w:autoSpaceDN/>
        <w:spacing w:line="360" w:lineRule="auto"/>
        <w:contextualSpacing/>
        <w:rPr>
          <w:rFonts w:ascii="Arial" w:hAnsi="Arial" w:cs="Arial"/>
          <w:color w:val="002060"/>
          <w:sz w:val="18"/>
          <w:szCs w:val="18"/>
        </w:rPr>
      </w:pPr>
    </w:p>
    <w:p w14:paraId="476B6D24" w14:textId="4FC75B08" w:rsidR="008D7343" w:rsidRDefault="008D7343" w:rsidP="008D7343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FB0D16">
        <w:rPr>
          <w:rFonts w:ascii="Arial" w:hAnsi="Arial" w:cs="Arial"/>
          <w:color w:val="002060"/>
          <w:sz w:val="20"/>
          <w:szCs w:val="20"/>
        </w:rPr>
        <w:t>Piesele de schimb</w:t>
      </w:r>
      <w:r>
        <w:rPr>
          <w:rFonts w:ascii="Arial" w:hAnsi="Arial" w:cs="Arial"/>
          <w:color w:val="002060"/>
          <w:sz w:val="20"/>
          <w:szCs w:val="20"/>
        </w:rPr>
        <w:t xml:space="preserve"> care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vor fi puse la dispozi</w:t>
      </w:r>
      <w:r w:rsidR="00921FD1">
        <w:rPr>
          <w:rFonts w:ascii="Arial" w:hAnsi="Arial" w:cs="Arial"/>
          <w:color w:val="002060"/>
          <w:sz w:val="20"/>
          <w:szCs w:val="20"/>
        </w:rPr>
        <w:t>ț</w:t>
      </w:r>
      <w:r w:rsidRPr="00FB0D16">
        <w:rPr>
          <w:rFonts w:ascii="Arial" w:hAnsi="Arial" w:cs="Arial"/>
          <w:color w:val="002060"/>
          <w:sz w:val="20"/>
          <w:szCs w:val="20"/>
        </w:rPr>
        <w:t>ia Autorit</w:t>
      </w:r>
      <w:r w:rsidR="00921FD1">
        <w:rPr>
          <w:rFonts w:ascii="Arial" w:hAnsi="Arial" w:cs="Arial"/>
          <w:color w:val="002060"/>
          <w:sz w:val="20"/>
          <w:szCs w:val="20"/>
        </w:rPr>
        <w:t>ăț</w:t>
      </w:r>
      <w:r w:rsidRPr="00FB0D16">
        <w:rPr>
          <w:rFonts w:ascii="Arial" w:hAnsi="Arial" w:cs="Arial"/>
          <w:color w:val="002060"/>
          <w:sz w:val="20"/>
          <w:szCs w:val="20"/>
        </w:rPr>
        <w:t>ii contractante, vor de</w:t>
      </w:r>
      <w:r w:rsidR="00921FD1">
        <w:rPr>
          <w:rFonts w:ascii="Arial" w:hAnsi="Arial" w:cs="Arial"/>
          <w:color w:val="002060"/>
          <w:sz w:val="20"/>
          <w:szCs w:val="20"/>
        </w:rPr>
        <w:t>ț</w:t>
      </w:r>
      <w:r w:rsidRPr="00FB0D16">
        <w:rPr>
          <w:rFonts w:ascii="Arial" w:hAnsi="Arial" w:cs="Arial"/>
          <w:color w:val="002060"/>
          <w:sz w:val="20"/>
          <w:szCs w:val="20"/>
        </w:rPr>
        <w:t>ine eticheta UE ecologic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sau o alt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etichet</w:t>
      </w:r>
      <w:r w:rsidR="00921FD1">
        <w:rPr>
          <w:rFonts w:ascii="Arial" w:hAnsi="Arial" w:cs="Arial"/>
          <w:color w:val="002060"/>
          <w:sz w:val="20"/>
          <w:szCs w:val="20"/>
        </w:rPr>
        <w:t xml:space="preserve">ă </w:t>
      </w:r>
      <w:r w:rsidRPr="00FB0D16">
        <w:rPr>
          <w:rFonts w:ascii="Arial" w:hAnsi="Arial" w:cs="Arial"/>
          <w:color w:val="002060"/>
          <w:sz w:val="20"/>
          <w:szCs w:val="20"/>
        </w:rPr>
        <w:t>ecologic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relevant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FB0D16">
        <w:rPr>
          <w:rFonts w:ascii="Arial" w:hAnsi="Arial" w:cs="Arial"/>
          <w:color w:val="002060"/>
          <w:sz w:val="20"/>
          <w:szCs w:val="20"/>
        </w:rPr>
        <w:t>.</w:t>
      </w:r>
      <w:r>
        <w:rPr>
          <w:rFonts w:ascii="Arial" w:hAnsi="Arial" w:cs="Arial"/>
          <w:color w:val="002060"/>
          <w:sz w:val="20"/>
          <w:szCs w:val="20"/>
        </w:rPr>
        <w:t xml:space="preserve"> (acolo unde este cazul).</w:t>
      </w:r>
    </w:p>
    <w:p w14:paraId="7615440C" w14:textId="77777777" w:rsidR="008D7343" w:rsidRDefault="008D7343" w:rsidP="008D7343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65035D21" w14:textId="2E238746" w:rsidR="008D7343" w:rsidRPr="00FB0D16" w:rsidRDefault="008D7343" w:rsidP="008D7343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FB0D16">
        <w:rPr>
          <w:rFonts w:ascii="Arial" w:hAnsi="Arial" w:cs="Arial"/>
          <w:color w:val="002060"/>
          <w:sz w:val="20"/>
          <w:szCs w:val="20"/>
        </w:rPr>
        <w:t xml:space="preserve">Toate piesele de schimb/materiale consumabile asigurate de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</w:t>
      </w:r>
      <w:r>
        <w:rPr>
          <w:rFonts w:ascii="Arial" w:hAnsi="Arial" w:cs="Arial"/>
          <w:color w:val="002060"/>
          <w:sz w:val="20"/>
          <w:szCs w:val="20"/>
        </w:rPr>
        <w:t xml:space="preserve">) 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>respectă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cerințele tehnice și de calitate ale producătorului echipamentului.</w:t>
      </w:r>
    </w:p>
    <w:p w14:paraId="44B16884" w14:textId="77777777" w:rsidR="008D7343" w:rsidRDefault="008D7343" w:rsidP="008D7343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58D922EA" w14:textId="764FD5F5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P</w:t>
      </w:r>
      <w:r w:rsidRPr="008D7343">
        <w:rPr>
          <w:rFonts w:ascii="Arial" w:hAnsi="Arial" w:cs="Arial"/>
          <w:b/>
          <w:bCs/>
          <w:color w:val="002060"/>
          <w:sz w:val="20"/>
          <w:szCs w:val="20"/>
        </w:rPr>
        <w:t xml:space="preserve">iesele de schimb care </w:t>
      </w:r>
      <w:r>
        <w:rPr>
          <w:rFonts w:ascii="Arial" w:hAnsi="Arial" w:cs="Arial"/>
          <w:b/>
          <w:bCs/>
          <w:color w:val="002060"/>
          <w:sz w:val="20"/>
          <w:szCs w:val="20"/>
        </w:rPr>
        <w:t>vor fi disponibile</w:t>
      </w:r>
      <w:r w:rsidRPr="008D7343">
        <w:rPr>
          <w:rFonts w:ascii="Arial" w:hAnsi="Arial" w:cs="Arial"/>
          <w:b/>
          <w:bCs/>
          <w:color w:val="002060"/>
          <w:sz w:val="20"/>
          <w:szCs w:val="20"/>
        </w:rPr>
        <w:t xml:space="preserve"> în mod curent pentru a facilita efectuarea în cel mai scurt timp a operațiunilor de mentenanță corectivă</w:t>
      </w:r>
    </w:p>
    <w:p w14:paraId="68063F75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42E34997" w14:textId="14B4DAFB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 xml:space="preserve"> (se </w:t>
      </w:r>
      <w:r>
        <w:rPr>
          <w:rFonts w:ascii="Arial" w:hAnsi="Arial" w:cs="Arial"/>
          <w:i/>
          <w:iCs/>
          <w:color w:val="0070C0"/>
          <w:sz w:val="14"/>
          <w:szCs w:val="14"/>
        </w:rPr>
        <w:t>completează de către ofertant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>)</w:t>
      </w:r>
    </w:p>
    <w:p w14:paraId="3B4812ED" w14:textId="33C4F97A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57DE1A74" w14:textId="3D0B8A68" w:rsidR="008D7343" w:rsidRDefault="008D7343" w:rsidP="00F50954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În funcție de echipamentul ofertat, se va ține cont (dacă este cazul) în mod obligatoriu de </w:t>
      </w:r>
      <w:r w:rsidRPr="008D7343">
        <w:rPr>
          <w:rFonts w:ascii="Arial" w:hAnsi="Arial" w:cs="Arial"/>
          <w:i/>
          <w:iCs/>
          <w:color w:val="0070C0"/>
          <w:sz w:val="14"/>
          <w:szCs w:val="14"/>
        </w:rPr>
        <w:t>Criteriile UE privind achizițiile publice verzi (APV)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/ GPP, </w:t>
      </w:r>
      <w:r w:rsidRPr="008D7343">
        <w:rPr>
          <w:rFonts w:ascii="Arial" w:hAnsi="Arial" w:cs="Arial"/>
          <w:i/>
          <w:iCs/>
          <w:color w:val="0070C0"/>
          <w:sz w:val="14"/>
          <w:szCs w:val="14"/>
        </w:rPr>
        <w:t>SPECIFICAȚII TEHNICE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– ST 2 - </w:t>
      </w:r>
      <w:r w:rsidR="00F50954" w:rsidRPr="00F50954">
        <w:rPr>
          <w:rFonts w:ascii="Arial" w:hAnsi="Arial" w:cs="Arial"/>
          <w:i/>
          <w:iCs/>
          <w:color w:val="0070C0"/>
          <w:sz w:val="14"/>
          <w:szCs w:val="14"/>
        </w:rPr>
        <w:t>Disponibilitate continuă a pieselor de</w:t>
      </w:r>
      <w:r w:rsidR="00F50954"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="00F50954" w:rsidRPr="00F50954">
        <w:rPr>
          <w:rFonts w:ascii="Arial" w:hAnsi="Arial" w:cs="Arial"/>
          <w:i/>
          <w:iCs/>
          <w:color w:val="0070C0"/>
          <w:sz w:val="14"/>
          <w:szCs w:val="14"/>
        </w:rPr>
        <w:t>schimb</w:t>
      </w:r>
      <w:r w:rsidR="00F50954">
        <w:rPr>
          <w:rFonts w:ascii="Arial" w:hAnsi="Arial" w:cs="Arial"/>
          <w:i/>
          <w:iCs/>
          <w:color w:val="0070C0"/>
          <w:sz w:val="14"/>
          <w:szCs w:val="14"/>
        </w:rPr>
        <w:t xml:space="preserve">. </w:t>
      </w:r>
    </w:p>
    <w:p w14:paraId="513348F2" w14:textId="77777777" w:rsidR="008D7343" w:rsidRP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A217CC5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7F58412A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D1D3EEE" w14:textId="0A23C50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T</w:t>
      </w:r>
      <w:r w:rsidRPr="008D7343">
        <w:rPr>
          <w:rFonts w:ascii="Arial" w:hAnsi="Arial" w:cs="Arial"/>
          <w:b/>
          <w:bCs/>
          <w:color w:val="002060"/>
          <w:sz w:val="20"/>
          <w:szCs w:val="20"/>
        </w:rPr>
        <w:t xml:space="preserve">impul de livrare pentru piesele de schimb </w:t>
      </w:r>
    </w:p>
    <w:p w14:paraId="29F0FB50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CE5F319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 xml:space="preserve"> (se </w:t>
      </w:r>
      <w:r>
        <w:rPr>
          <w:rFonts w:ascii="Arial" w:hAnsi="Arial" w:cs="Arial"/>
          <w:i/>
          <w:iCs/>
          <w:color w:val="0070C0"/>
          <w:sz w:val="14"/>
          <w:szCs w:val="14"/>
        </w:rPr>
        <w:t>completează de către ofertant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>)</w:t>
      </w:r>
    </w:p>
    <w:p w14:paraId="564ED93E" w14:textId="77777777" w:rsidR="008D7343" w:rsidRP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2FDEFE83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6040030" w14:textId="28D5DF29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M</w:t>
      </w:r>
      <w:r w:rsidRPr="008D7343">
        <w:rPr>
          <w:rFonts w:ascii="Arial" w:hAnsi="Arial" w:cs="Arial"/>
          <w:b/>
          <w:bCs/>
          <w:color w:val="002060"/>
          <w:sz w:val="20"/>
          <w:szCs w:val="20"/>
        </w:rPr>
        <w:t>odalitatea de asigurare a pieselor de schimb în perioada post garanție</w:t>
      </w:r>
    </w:p>
    <w:p w14:paraId="5ABFE509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EC266A9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 xml:space="preserve"> (se </w:t>
      </w:r>
      <w:r>
        <w:rPr>
          <w:rFonts w:ascii="Arial" w:hAnsi="Arial" w:cs="Arial"/>
          <w:i/>
          <w:iCs/>
          <w:color w:val="0070C0"/>
          <w:sz w:val="14"/>
          <w:szCs w:val="14"/>
        </w:rPr>
        <w:t>completează de către ofertant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>)</w:t>
      </w:r>
    </w:p>
    <w:p w14:paraId="38637658" w14:textId="77777777" w:rsidR="008D7343" w:rsidRP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1A4EC30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F6DDA2F" w14:textId="4570A192" w:rsidR="00BC5B36" w:rsidRDefault="00F50954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Proiectarea pentru reparabilitate</w:t>
      </w:r>
    </w:p>
    <w:p w14:paraId="3973143B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EDBFF17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 xml:space="preserve"> (se </w:t>
      </w:r>
      <w:r>
        <w:rPr>
          <w:rFonts w:ascii="Arial" w:hAnsi="Arial" w:cs="Arial"/>
          <w:i/>
          <w:iCs/>
          <w:color w:val="0070C0"/>
          <w:sz w:val="14"/>
          <w:szCs w:val="14"/>
        </w:rPr>
        <w:t>completează de către ofertant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>)</w:t>
      </w:r>
    </w:p>
    <w:p w14:paraId="0D7415C0" w14:textId="77777777" w:rsidR="008D7343" w:rsidRP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5C706486" w14:textId="563B8D73" w:rsidR="00F50954" w:rsidRPr="00F50954" w:rsidRDefault="00F50954" w:rsidP="00F50954">
      <w:pPr>
        <w:rPr>
          <w:rFonts w:ascii="Arial" w:hAnsi="Arial" w:cs="Arial"/>
          <w:i/>
          <w:iCs/>
          <w:color w:val="0070C0"/>
          <w:sz w:val="14"/>
          <w:szCs w:val="14"/>
        </w:rPr>
      </w:pP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În funcție de echipamentul ofertat, se va ține cont (dacă este cazul) în mod obligatoriu de </w:t>
      </w:r>
      <w:r w:rsidRPr="008D7343">
        <w:rPr>
          <w:rFonts w:ascii="Arial" w:hAnsi="Arial" w:cs="Arial"/>
          <w:i/>
          <w:iCs/>
          <w:color w:val="0070C0"/>
          <w:sz w:val="14"/>
          <w:szCs w:val="14"/>
        </w:rPr>
        <w:t>Criteriile UE privind achizițiile publice verzi (APV)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/ GPP, </w:t>
      </w:r>
      <w:r w:rsidRPr="008D7343">
        <w:rPr>
          <w:rFonts w:ascii="Arial" w:hAnsi="Arial" w:cs="Arial"/>
          <w:i/>
          <w:iCs/>
          <w:color w:val="0070C0"/>
          <w:sz w:val="14"/>
          <w:szCs w:val="14"/>
        </w:rPr>
        <w:t>SPECIFICAȚII TEHNICE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–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ST4 Proiectare pentru reparabilitate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.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Ofertantul trebuie să dea asigurări că tehnicile de îmbinare sau etanșare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folosite la produsele furnizate nu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î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mpiedică repararea și înlocuirea pieselor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(componentelor critice)</w:t>
      </w:r>
      <w:r>
        <w:rPr>
          <w:rFonts w:ascii="Arial" w:hAnsi="Arial" w:cs="Arial"/>
          <w:i/>
          <w:iCs/>
          <w:color w:val="0070C0"/>
          <w:sz w:val="14"/>
          <w:szCs w:val="14"/>
        </w:rPr>
        <w:t>.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70C0"/>
          <w:sz w:val="14"/>
          <w:szCs w:val="14"/>
        </w:rPr>
        <w:t>EXEMPLE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:</w:t>
      </w:r>
    </w:p>
    <w:p w14:paraId="7D89D229" w14:textId="77777777" w:rsidR="00F50954" w:rsidRDefault="00F50954" w:rsidP="00F50954">
      <w:pPr>
        <w:rPr>
          <w:rFonts w:ascii="Arial" w:hAnsi="Arial" w:cs="Arial"/>
          <w:i/>
          <w:iCs/>
          <w:color w:val="0070C0"/>
          <w:sz w:val="14"/>
          <w:szCs w:val="14"/>
        </w:rPr>
      </w:pPr>
    </w:p>
    <w:p w14:paraId="3E24634F" w14:textId="10CBE662" w:rsidR="00F50954" w:rsidRPr="00F50954" w:rsidRDefault="00F50954" w:rsidP="00CE10D6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  <w:color w:val="0070C0"/>
          <w:sz w:val="14"/>
          <w:szCs w:val="14"/>
        </w:rPr>
      </w:pP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Laptopuri: Baterie, panou afișaj/ansamblu afișaj, stocare (SSD, HDD,RAM), sursă de alimentare externă/internă, tastatură, placă de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bază</w:t>
      </w:r>
    </w:p>
    <w:p w14:paraId="0E93B4E5" w14:textId="5CBC6C59" w:rsidR="00F50954" w:rsidRPr="00F50954" w:rsidRDefault="00F50954" w:rsidP="00755B79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  <w:color w:val="0070C0"/>
          <w:sz w:val="14"/>
          <w:szCs w:val="14"/>
        </w:rPr>
      </w:pP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Calculatoare de birou: CPU (procesor), GPU (unitate de procesare grafică) (PCIe) (PCI expres), PSU (sursă de alimentare) externă/internă, stocare (SSD, HDD, ODD, RAM), sistem/placă de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bază</w:t>
      </w:r>
    </w:p>
    <w:p w14:paraId="64A61ECB" w14:textId="77777777" w:rsidR="00F50954" w:rsidRDefault="00F50954" w:rsidP="00F50954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  <w:color w:val="0070C0"/>
          <w:sz w:val="14"/>
          <w:szCs w:val="14"/>
        </w:rPr>
      </w:pP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Computer PC „all-in-one”: PSU (sursă de alimentare) externă/internă,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stocare (SSD, HDD, ODD, RAM), sistem/placă de bază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</w:p>
    <w:p w14:paraId="0C483275" w14:textId="37EB39B1" w:rsidR="00F50954" w:rsidRPr="00F50954" w:rsidRDefault="00F50954" w:rsidP="006A6387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  <w:color w:val="0070C0"/>
          <w:sz w:val="14"/>
          <w:szCs w:val="14"/>
        </w:rPr>
      </w:pP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Ecrane de computere: Cabluri de conectare, cabluri de alimentare,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 xml:space="preserve">sursă de alimentare externă </w:t>
      </w:r>
    </w:p>
    <w:p w14:paraId="6B6E897A" w14:textId="48C46D9F" w:rsidR="00F50954" w:rsidRPr="00F50954" w:rsidRDefault="00F50954" w:rsidP="00F50954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4FF2DD85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930A0F4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FB4BB8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094A2C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3B349917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921FD1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921FD1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921FD1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3D50" w14:textId="77777777" w:rsidR="006879D1" w:rsidRDefault="006879D1" w:rsidP="00121798">
      <w:r>
        <w:separator/>
      </w:r>
    </w:p>
  </w:endnote>
  <w:endnote w:type="continuationSeparator" w:id="0">
    <w:p w14:paraId="4E7AEE74" w14:textId="77777777" w:rsidR="006879D1" w:rsidRDefault="006879D1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00000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DC4A" w14:textId="77777777" w:rsidR="006879D1" w:rsidRDefault="006879D1" w:rsidP="00121798">
      <w:r>
        <w:separator/>
      </w:r>
    </w:p>
  </w:footnote>
  <w:footnote w:type="continuationSeparator" w:id="0">
    <w:p w14:paraId="04BB04DA" w14:textId="77777777" w:rsidR="006879D1" w:rsidRDefault="006879D1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D05F0"/>
    <w:multiLevelType w:val="hybridMultilevel"/>
    <w:tmpl w:val="2AB27E40"/>
    <w:lvl w:ilvl="0" w:tplc="F8E04B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3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2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5"/>
  </w:num>
  <w:num w:numId="7" w16cid:durableId="1272859024">
    <w:abstractNumId w:val="13"/>
  </w:num>
  <w:num w:numId="8" w16cid:durableId="1163206522">
    <w:abstractNumId w:val="8"/>
  </w:num>
  <w:num w:numId="9" w16cid:durableId="1313293019">
    <w:abstractNumId w:val="9"/>
  </w:num>
  <w:num w:numId="10" w16cid:durableId="1565526273">
    <w:abstractNumId w:val="10"/>
  </w:num>
  <w:num w:numId="11" w16cid:durableId="890968324">
    <w:abstractNumId w:val="14"/>
  </w:num>
  <w:num w:numId="12" w16cid:durableId="843713373">
    <w:abstractNumId w:val="2"/>
  </w:num>
  <w:num w:numId="13" w16cid:durableId="1837261789">
    <w:abstractNumId w:val="16"/>
  </w:num>
  <w:num w:numId="14" w16cid:durableId="1118716061">
    <w:abstractNumId w:val="4"/>
  </w:num>
  <w:num w:numId="15" w16cid:durableId="1605647092">
    <w:abstractNumId w:val="3"/>
  </w:num>
  <w:num w:numId="16" w16cid:durableId="590163100">
    <w:abstractNumId w:val="11"/>
  </w:num>
  <w:num w:numId="17" w16cid:durableId="1462917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415CE"/>
    <w:rsid w:val="00121798"/>
    <w:rsid w:val="0019516C"/>
    <w:rsid w:val="002152D8"/>
    <w:rsid w:val="00215B65"/>
    <w:rsid w:val="00303F3E"/>
    <w:rsid w:val="003048CF"/>
    <w:rsid w:val="00322B16"/>
    <w:rsid w:val="00322B70"/>
    <w:rsid w:val="00424A1C"/>
    <w:rsid w:val="00453512"/>
    <w:rsid w:val="00481312"/>
    <w:rsid w:val="00505F1D"/>
    <w:rsid w:val="005274EA"/>
    <w:rsid w:val="005641A9"/>
    <w:rsid w:val="006036BC"/>
    <w:rsid w:val="00605C5D"/>
    <w:rsid w:val="006061E1"/>
    <w:rsid w:val="006401FA"/>
    <w:rsid w:val="00646F2D"/>
    <w:rsid w:val="006879D1"/>
    <w:rsid w:val="006C114D"/>
    <w:rsid w:val="0070387F"/>
    <w:rsid w:val="0079398B"/>
    <w:rsid w:val="00816377"/>
    <w:rsid w:val="00823DEE"/>
    <w:rsid w:val="00871732"/>
    <w:rsid w:val="00881105"/>
    <w:rsid w:val="00896DCF"/>
    <w:rsid w:val="008D2433"/>
    <w:rsid w:val="008D7343"/>
    <w:rsid w:val="00901BDA"/>
    <w:rsid w:val="00912D71"/>
    <w:rsid w:val="00921FD1"/>
    <w:rsid w:val="009220F8"/>
    <w:rsid w:val="0096056B"/>
    <w:rsid w:val="00A40305"/>
    <w:rsid w:val="00AA15F4"/>
    <w:rsid w:val="00AB0B28"/>
    <w:rsid w:val="00AB20C6"/>
    <w:rsid w:val="00B2512D"/>
    <w:rsid w:val="00B36E16"/>
    <w:rsid w:val="00BA347D"/>
    <w:rsid w:val="00BB7858"/>
    <w:rsid w:val="00BC5B36"/>
    <w:rsid w:val="00C14ABD"/>
    <w:rsid w:val="00C156EE"/>
    <w:rsid w:val="00C71FAA"/>
    <w:rsid w:val="00C77508"/>
    <w:rsid w:val="00CB5BB4"/>
    <w:rsid w:val="00D04300"/>
    <w:rsid w:val="00D3290D"/>
    <w:rsid w:val="00D53C43"/>
    <w:rsid w:val="00D62426"/>
    <w:rsid w:val="00DA5022"/>
    <w:rsid w:val="00E367A0"/>
    <w:rsid w:val="00EB18F0"/>
    <w:rsid w:val="00F50954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719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TURCITU</dc:creator>
  <cp:lastModifiedBy>Alexandru Piciorus</cp:lastModifiedBy>
  <cp:revision>11</cp:revision>
  <dcterms:created xsi:type="dcterms:W3CDTF">2023-09-12T05:56:00Z</dcterms:created>
  <dcterms:modified xsi:type="dcterms:W3CDTF">2023-09-21T18:05:00Z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